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300"/>
      </w:pPr>
      <w:r>
        <w:rPr>
          <w:rFonts w:ascii="Arial" w:cs="Arial" w:eastAsia="Arial" w:hAnsi="Arial"/>
          <w:b/>
          <w:bCs/>
          <w:color w:val="D6248F"/>
          <w:sz w:val="18"/>
          <w:szCs w:val="18"/>
        </w:rPr>
        <w:t xml:space="preserve">TECHNICAL DETAIL · MAY 2026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6D28D9"/>
          <w:sz w:val="50"/>
          <w:szCs w:val="50"/>
        </w:rPr>
        <w:t xml:space="preserve">AI &amp; Data Architecture</w:t>
      </w:r>
    </w:p>
    <w:p>
      <w:pPr>
        <w:spacing w:after="240"/>
      </w:pPr>
      <w:r>
        <w:rPr>
          <w:rFonts w:ascii="Arial" w:cs="Arial" w:eastAsia="Arial" w:hAnsi="Arial"/>
          <w:b/>
          <w:bCs/>
          <w:color w:val="14202E"/>
          <w:sz w:val="50"/>
          <w:szCs w:val="50"/>
        </w:rPr>
        <w:t xml:space="preserve">for The Carlyle Group</w:t>
      </w:r>
    </w:p>
    <w:p>
      <w:pPr>
        <w:spacing w:after="60"/>
      </w:pPr>
      <w:r>
        <w:rPr>
          <w:rFonts w:ascii="Georgia" w:cs="Georgia" w:eastAsia="Georgia" w:hAnsi="Georgia"/>
          <w:i/>
          <w:iCs/>
          <w:color w:val="566073"/>
          <w:sz w:val="24"/>
          <w:szCs w:val="24"/>
        </w:rPr>
        <w:t xml:space="preserve">Full technical reference — every layer, every technology, with SQL.</w:t>
      </w:r>
    </w:p>
    <w:p>
      <w:pPr>
        <w:spacing w:after="40" w:before="360"/>
      </w:pP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Harnoor Minhas</w:t>
      </w:r>
    </w:p>
    <w:p>
      <w:pPr>
        <w:spacing w:after="120"/>
      </w:pPr>
      <w:r>
        <w:rPr>
          <w:rFonts w:ascii="Georgia" w:cs="Georgia" w:eastAsia="Georgia" w:hAnsi="Georgia"/>
          <w:color w:val="566073"/>
          <w:sz w:val="22"/>
          <w:szCs w:val="22"/>
        </w:rPr>
        <w:t xml:space="preserve">Senior Agentic AI · Hands-on Data Architect</w:t>
      </w:r>
    </w:p>
    <w:p>
      <w:pPr>
        <w:spacing w:after="120"/>
      </w:pPr>
      <w:r>
        <w:rPr>
          <w:rFonts w:ascii="Georgia" w:cs="Georgia" w:eastAsia="Georgia" w:hAnsi="Georgia"/>
          <w:color w:val="566073"/>
          <w:sz w:val="22"/>
          <w:szCs w:val="22"/>
        </w:rPr>
        <w:t xml:space="preserve">Live demo: </w:t>
      </w:r>
      <w:r>
        <w:rPr>
          <w:rFonts w:ascii="Georgia" w:cs="Georgia" w:eastAsia="Georgia" w:hAnsi="Georgia"/>
          <w:b/>
          <w:bCs/>
          <w:color w:val="2D6BFF"/>
          <w:sz w:val="22"/>
          <w:szCs w:val="22"/>
        </w:rPr>
        <w:t xml:space="preserve">carlyle.hmtech.one</w:t>
      </w:r>
    </w:p>
    <w:p>
      <w:r>
        <w:br w:type="page"/>
      </w:r>
    </w:p>
    <w:p>
      <w:pPr>
        <w:pStyle w:val="Heading1"/>
        <w:spacing w:after="140" w:before="300"/>
      </w:pPr>
      <w:r>
        <w:rPr>
          <w:rFonts w:ascii="Arial" w:cs="Arial" w:eastAsia="Arial" w:hAnsi="Arial"/>
          <w:b/>
          <w:bCs/>
          <w:color w:val="6D28D9"/>
          <w:sz w:val="30"/>
          <w:szCs w:val="30"/>
        </w:rPr>
        <w:t xml:space="preserve">1 · Design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Data foundation before AI. 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Golden records and a semantic layer first; AI consumes governed data, never raw tables.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Governance-first. 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Access control, masking, lineage, evaluation and audit wrap every layer — appropriate for a regulated investment firm.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Snowflake-native by default. 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Reach outside only with a clear reason; each external hop is a governance seam to defend.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Open formats. 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Iceberg keeps the data engine-agnostic — Snowflake and Databricks read the same tables.</w:t>
      </w:r>
    </w:p>
    <w:p>
      <w:pPr>
        <w:pStyle w:val="Heading1"/>
        <w:spacing w:after="140" w:before="300"/>
      </w:pPr>
      <w:r>
        <w:rPr>
          <w:rFonts w:ascii="Arial" w:cs="Arial" w:eastAsia="Arial" w:hAnsi="Arial"/>
          <w:b/>
          <w:bCs/>
          <w:color w:val="0E8C86"/>
          <w:sz w:val="30"/>
          <w:szCs w:val="30"/>
        </w:rPr>
        <w:t xml:space="preserve">2 · Architecture, layer by layer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22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0E8C8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Layer</w:t>
            </w:r>
          </w:p>
        </w:tc>
        <w:tc>
          <w:tcPr>
            <w:tcW w:type="dxa" w:w="71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0E8C86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Technology &amp; purpose</w:t>
            </w:r>
          </w:p>
        </w:tc>
      </w:tr>
      <w:tr>
        <w:tc>
          <w:tcPr>
            <w:tcW w:type="dxa" w:w="22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Sources</w:t>
            </w:r>
          </w:p>
        </w:tc>
        <w:tc>
          <w:tcPr>
            <w:tcW w:type="dxa" w:w="71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Bloomberg, S&amp;P Capital IQ, CRM, SEC EDGAR, PDFs.</w:t>
            </w:r>
          </w:p>
        </w:tc>
      </w:tr>
      <w:tr>
        <w:tc>
          <w:tcPr>
            <w:tcW w:type="dxa" w:w="22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Ingest</w:t>
            </w:r>
          </w:p>
        </w:tc>
        <w:tc>
          <w:tcPr>
            <w:tcW w:type="dxa" w:w="71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Snowpipe Streaming (from Kafka) for real-time; Fivetran for batch/SaaS.</w:t>
            </w:r>
          </w:p>
        </w:tc>
      </w:tr>
      <w:tr>
        <w:tc>
          <w:tcPr>
            <w:tcW w:type="dxa" w:w="22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Bronze</w:t>
            </w:r>
          </w:p>
        </w:tc>
        <w:tc>
          <w:tcPr>
            <w:tcW w:type="dxa" w:w="71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Iceberg raw tables — immutable landing zone.</w:t>
            </w:r>
          </w:p>
        </w:tc>
      </w:tr>
      <w:tr>
        <w:tc>
          <w:tcPr>
            <w:tcW w:type="dxa" w:w="22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MDM</w:t>
            </w:r>
          </w:p>
        </w:tc>
        <w:tc>
          <w:tcPr>
            <w:tcW w:type="dxa" w:w="71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Matching + survivorship → one golden record per entity (the foundation).</w:t>
            </w:r>
          </w:p>
        </w:tc>
      </w:tr>
      <w:tr>
        <w:tc>
          <w:tcPr>
            <w:tcW w:type="dxa" w:w="22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Silver</w:t>
            </w:r>
          </w:p>
        </w:tc>
        <w:tc>
          <w:tcPr>
            <w:tcW w:type="dxa" w:w="71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Canonical Dynamic Tables — incremental, governed business models.</w:t>
            </w:r>
          </w:p>
        </w:tc>
      </w:tr>
      <w:tr>
        <w:tc>
          <w:tcPr>
            <w:tcW w:type="dxa" w:w="22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Semantic layer</w:t>
            </w:r>
          </w:p>
        </w:tc>
        <w:tc>
          <w:tcPr>
            <w:tcW w:type="dxa" w:w="71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Cortex Analyst model — one metric contract for BI + AI.</w:t>
            </w:r>
          </w:p>
        </w:tc>
      </w:tr>
      <w:tr>
        <w:tc>
          <w:tcPr>
            <w:tcW w:type="dxa" w:w="22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Cortex AI</w:t>
            </w:r>
          </w:p>
        </w:tc>
        <w:tc>
          <w:tcPr>
            <w:tcW w:type="dxa" w:w="71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Search (RAG), Analyst (NL→SQL), Agents, AI SQL.</w:t>
            </w:r>
          </w:p>
        </w:tc>
      </w:tr>
      <w:tr>
        <w:tc>
          <w:tcPr>
            <w:tcW w:type="dxa" w:w="22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Consumers</w:t>
            </w:r>
          </w:p>
        </w:tc>
        <w:tc>
          <w:tcPr>
            <w:tcW w:type="dxa" w:w="71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Analysts (BI) and AI agents / copilots.</w:t>
            </w:r>
          </w:p>
        </w:tc>
      </w:tr>
    </w:tbl>
    <w:p>
      <w:pPr>
        <w:spacing w:after="120"/>
      </w:pPr>
      <w:r>
        <w:rPr>
          <w:rFonts w:ascii="Georgia" w:cs="Georgia" w:eastAsia="Georgia" w:hAnsi="Georgia"/>
          <w:i/>
          <w:iCs/>
          <w:color w:val="566073"/>
          <w:sz w:val="18"/>
          <w:szCs w:val="18"/>
        </w:rPr>
        <w:t xml:space="preserve">Data flows top to bottom; governance wraps every layer; MDM is the foundation — golden records before any AI.</w:t>
      </w:r>
    </w:p>
    <w:p>
      <w:pPr>
        <w:pStyle w:val="Heading1"/>
        <w:spacing w:after="140" w:before="300"/>
      </w:pPr>
      <w:r>
        <w:rPr>
          <w:rFonts w:ascii="Arial" w:cs="Arial" w:eastAsia="Arial" w:hAnsi="Arial"/>
          <w:b/>
          <w:bCs/>
          <w:color w:val="D6248F"/>
          <w:sz w:val="30"/>
          <w:szCs w:val="30"/>
        </w:rPr>
        <w:t xml:space="preserve">3 · Master Data Management</w:t>
      </w:r>
    </w:p>
    <w:p>
      <w:pPr>
        <w:spacing w:after="12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Entity resolution turns conflicting source records into one trusted golden record. Blocking avoids an N² comparison; weighted similarity scores candidate pairs; survivorship picks the most authoritative value per field.</w:t>
      </w:r>
    </w:p>
    <w:p>
      <w:pPr>
        <w:pStyle w:val="Heading2"/>
        <w:spacing w:after="90" w:before="200"/>
      </w:pPr>
      <w:r>
        <w:rPr>
          <w:rFonts w:ascii="Arial" w:cs="Arial" w:eastAsia="Arial" w:hAnsi="Arial"/>
          <w:b/>
          <w:bCs/>
          <w:color w:val="D6248F"/>
          <w:sz w:val="23"/>
          <w:szCs w:val="23"/>
        </w:rPr>
        <w:t xml:space="preserve">Match + score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0B122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WITH pairs AS (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SELECT a.raw_id AS id_a, b.raw_id AS id_b, a.cik AS cik_a, b.cik AS cik_b,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       JAROWINKLER_SIMILARITY(LOWER(a.name), LOWER(b.name)) AS name_sim,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       EDITDISTANCE(a.domain, b.domain)                     AS domain_dist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FROM   bronze.raw_records a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JOIN   bronze.raw_records b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  ON   a.raw_id &lt; b.raw_id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 AND   SOUNDEX(a.name) = SOUNDEX(b.name)        -- blocking key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)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SELECT id_a, id_b,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     (0.7 * name_sim/100.0) + (0.3 * (domain_dist = 0)::INT) AS match_score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FROM   pairs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QUALIFY match_score &gt; 0.85 OR cik_a = cik_b;       -- deterministic override</w:t>
            </w:r>
          </w:p>
        </w:tc>
      </w:tr>
    </w:tbl>
    <w:p>
      <w:pPr>
        <w:pStyle w:val="Heading2"/>
        <w:spacing w:after="90" w:before="200"/>
      </w:pPr>
      <w:r>
        <w:rPr>
          <w:rFonts w:ascii="Arial" w:cs="Arial" w:eastAsia="Arial" w:hAnsi="Arial"/>
          <w:b/>
          <w:bCs/>
          <w:color w:val="D6248F"/>
          <w:sz w:val="23"/>
          <w:szCs w:val="23"/>
        </w:rPr>
        <w:t xml:space="preserve">Survivorship → golden record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0B122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-- source_priority: S&amp;P=1, Bloomberg=2, CRM=3  -&gt;  lowest wins per field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SELECT match_group, name, cik, figi, internal_id, source_system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FROM   silver.matched_records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QUALIFY ROW_NUMBER() OVER (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        PARTITION BY match_group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        ORDER BY source_priority, updated_at DESC) = 1;</w:t>
            </w:r>
          </w:p>
        </w:tc>
      </w:tr>
    </w:tbl>
    <w:p>
      <w:pPr>
        <w:pStyle w:val="Heading1"/>
        <w:spacing w:after="140" w:before="300"/>
      </w:pPr>
      <w:r>
        <w:rPr>
          <w:rFonts w:ascii="Arial" w:cs="Arial" w:eastAsia="Arial" w:hAnsi="Arial"/>
          <w:b/>
          <w:bCs/>
          <w:color w:val="2D6BFF"/>
          <w:sz w:val="30"/>
          <w:szCs w:val="30"/>
        </w:rPr>
        <w:t xml:space="preserve">4 · Retrieval-Augmented Generation (RAG)</w:t>
      </w:r>
    </w:p>
    <w:p>
      <w:pPr>
        <w:spacing w:after="12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Cortex Search is a managed retrieval service: it indexes governed document chunks, retrieves the most relevant passages for a question, and returns them with citations so the AI answers from real sources.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0B122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CREATE OR REPLACE CORTEX SEARCH SERVICE portfolio_docs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ON          content_chunk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ATTRIBUTES  golden_id, doc_type, page_number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WAREHOUSE   = search_wh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TARGET_LAG  = '1 hour'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EMBEDDING_MODEL = 'snowflake-arctic-embed-l-v2.0'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AS (SELECT content_chunk, golden_id, doc_type, page_number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CFE0FF"/>
                <w:sz w:val="15"/>
                <w:szCs w:val="15"/>
              </w:rPr>
              <w:t xml:space="preserve">    FROM silver.doc_chunks);</w:t>
            </w:r>
          </w:p>
        </w:tc>
      </w:tr>
    </w:tbl>
    <w:p>
      <w:pPr>
        <w:pStyle w:val="Heading1"/>
        <w:spacing w:after="140" w:before="300"/>
      </w:pPr>
      <w:r>
        <w:rPr>
          <w:rFonts w:ascii="Arial" w:cs="Arial" w:eastAsia="Arial" w:hAnsi="Arial"/>
          <w:b/>
          <w:bCs/>
          <w:color w:val="0E8C86"/>
          <w:sz w:val="30"/>
          <w:szCs w:val="30"/>
        </w:rPr>
        <w:t xml:space="preserve">5 · Natural language to SQL</w:t>
      </w:r>
    </w:p>
    <w:p>
      <w:pPr>
        <w:spacing w:after="12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Cortex Analyst maps a plain-English question to SQL against the semantic model, so a manager gets a chart without an analyst queue — and the same metric definitions serve both BI and AI.</w:t>
      </w:r>
    </w:p>
    <w:p>
      <w:pPr>
        <w:pStyle w:val="Heading1"/>
        <w:spacing w:after="140" w:before="300"/>
      </w:pPr>
      <w:r>
        <w:rPr>
          <w:rFonts w:ascii="Arial" w:cs="Arial" w:eastAsia="Arial" w:hAnsi="Arial"/>
          <w:b/>
          <w:bCs/>
          <w:color w:val="D6248F"/>
          <w:sz w:val="30"/>
          <w:szCs w:val="30"/>
        </w:rPr>
        <w:t xml:space="preserve">6 · Streaming vs. batch</w:t>
      </w:r>
    </w:p>
    <w:p>
      <w:pPr>
        <w:spacing w:after="12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Real-time path: </w:t>
      </w: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Apache Kafka 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(market + news events) → </w:t>
      </w: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Snowpipe Streaming 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→ Snowflake </w:t>
      </w: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Dynamic Tables 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→ dashboards and agents. The demo contrasts this live path against a frozen nightly batch to show why streaming matters for time-sensitive metrics.</w:t>
      </w:r>
    </w:p>
    <w:p>
      <w:pPr>
        <w:pStyle w:val="Heading1"/>
        <w:spacing w:after="140" w:before="300"/>
      </w:pPr>
      <w:r>
        <w:rPr>
          <w:rFonts w:ascii="Arial" w:cs="Arial" w:eastAsia="Arial" w:hAnsi="Arial"/>
          <w:b/>
          <w:bCs/>
          <w:color w:val="2D6BFF"/>
          <w:sz w:val="30"/>
          <w:szCs w:val="30"/>
        </w:rPr>
        <w:t xml:space="preserve">7 · Lakehouse &amp; heavy ML</w:t>
      </w:r>
    </w:p>
    <w:p>
      <w:pPr>
        <w:spacing w:after="12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Most questions are answered inside Snowflake. Large-scale model training uses </w:t>
      </w: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Databricks + MLflow 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over the same open </w:t>
      </w: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Iceberg 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tables — one source of truth, two engines, no fork.</w:t>
      </w:r>
    </w:p>
    <w:p>
      <w:pPr>
        <w:pStyle w:val="Heading1"/>
        <w:spacing w:after="140" w:before="300"/>
      </w:pPr>
      <w:r>
        <w:rPr>
          <w:rFonts w:ascii="Arial" w:cs="Arial" w:eastAsia="Arial" w:hAnsi="Arial"/>
          <w:b/>
          <w:bCs/>
          <w:color w:val="0E8C86"/>
          <w:sz w:val="30"/>
          <w:szCs w:val="30"/>
        </w:rPr>
        <w:t xml:space="preserve">8 · Palantir Foundry ontology</w:t>
      </w:r>
    </w:p>
    <w:p>
      <w:pPr>
        <w:spacing w:after="12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An ontology turns rows into the business objects Carlyle reasons about — Fund, Deal, Portfolio Company, Limited Partner, Valuation — with relationships and governed actions. Backed by the same golden records, so Foundry and Cortex are two consumption planes over one canonical source.</w:t>
      </w:r>
    </w:p>
    <w:p>
      <w:pPr>
        <w:pStyle w:val="Heading1"/>
        <w:spacing w:after="140" w:before="300"/>
      </w:pPr>
      <w:r>
        <w:rPr>
          <w:rFonts w:ascii="Arial" w:cs="Arial" w:eastAsia="Arial" w:hAnsi="Arial"/>
          <w:b/>
          <w:bCs/>
          <w:color w:val="D6248F"/>
          <w:sz w:val="30"/>
          <w:szCs w:val="30"/>
        </w:rPr>
        <w:t xml:space="preserve">9 · Governance &amp; security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RBAC and role hierarchy; least-privilege access.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Dynamic data masking for PII.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Lineage via Horizon Catalog + Snowflake Trail.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Evaluation harness on a labelled golden set for AI quality.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Prompt/response logging and audit tables for AI risk.</w:t>
      </w:r>
    </w:p>
    <w:p>
      <w:pPr>
        <w:pStyle w:val="Heading1"/>
        <w:spacing w:after="140" w:before="300"/>
      </w:pPr>
      <w:r>
        <w:rPr>
          <w:rFonts w:ascii="Arial" w:cs="Arial" w:eastAsia="Arial" w:hAnsi="Arial"/>
          <w:b/>
          <w:bCs/>
          <w:color w:val="2D6BFF"/>
          <w:sz w:val="30"/>
          <w:szCs w:val="30"/>
        </w:rPr>
        <w:t xml:space="preserve">10 · Native vs. external — decision framework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80"/>
        <w:gridCol w:w="3580"/>
      </w:tblGrid>
      <w:tr>
        <w:trPr>
          <w:tblHeader/>
        </w:trPr>
        <w:tc>
          <w:tcPr>
            <w:tcW w:type="dxa" w:w="22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2D6B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Need</w:t>
            </w:r>
          </w:p>
        </w:tc>
        <w:tc>
          <w:tcPr>
            <w:tcW w:type="dxa" w:w="358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2D6B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Native (default)</w:t>
            </w:r>
          </w:p>
        </w:tc>
        <w:tc>
          <w:tcPr>
            <w:tcW w:type="dxa" w:w="358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2D6B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Reach external — when</w:t>
            </w:r>
          </w:p>
        </w:tc>
      </w:tr>
      <w:tr>
        <w:tc>
          <w:tcPr>
            <w:tcW w:type="dxa" w:w="22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Retrieval / RAG</w:t>
            </w:r>
          </w:p>
        </w:tc>
        <w:tc>
          <w:tcPr>
            <w:tcW w:type="dxa" w:w="358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Cortex Search</w:t>
            </w:r>
          </w:p>
        </w:tc>
        <w:tc>
          <w:tcPr>
            <w:tcW w:type="dxa" w:w="358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Pinecone / pgvector past ~100M vectors, sub-10ms</w:t>
            </w:r>
          </w:p>
        </w:tc>
      </w:tr>
      <w:tr>
        <w:tc>
          <w:tcPr>
            <w:tcW w:type="dxa" w:w="22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Heavy ML training</w:t>
            </w:r>
          </w:p>
        </w:tc>
        <w:tc>
          <w:tcPr>
            <w:tcW w:type="dxa" w:w="358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Snowpark ML</w:t>
            </w:r>
          </w:p>
        </w:tc>
        <w:tc>
          <w:tcPr>
            <w:tcW w:type="dxa" w:w="358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Databricks + MLflow for large-scale training</w:t>
            </w:r>
          </w:p>
        </w:tc>
      </w:tr>
      <w:tr>
        <w:tc>
          <w:tcPr>
            <w:tcW w:type="dxa" w:w="22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Frontier / multi-model</w:t>
            </w:r>
          </w:p>
        </w:tc>
        <w:tc>
          <w:tcPr>
            <w:tcW w:type="dxa" w:w="358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Cortex serves Claude &amp; GPT</w:t>
            </w:r>
          </w:p>
        </w:tc>
        <w:tc>
          <w:tcPr>
            <w:tcW w:type="dxa" w:w="358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Thin AI gateway for routing, cost caps, failover</w:t>
            </w:r>
          </w:p>
        </w:tc>
      </w:tr>
    </w:tbl>
    <w:p>
      <w:pPr>
        <w:pStyle w:val="Heading1"/>
        <w:spacing w:after="140" w:before="300"/>
      </w:pPr>
      <w:r>
        <w:rPr>
          <w:rFonts w:ascii="Arial" w:cs="Arial" w:eastAsia="Arial" w:hAnsi="Arial"/>
          <w:b/>
          <w:bCs/>
          <w:color w:val="D6248F"/>
          <w:sz w:val="30"/>
          <w:szCs w:val="30"/>
        </w:rPr>
        <w:t xml:space="preserve">11 · The live demo — ticker &amp; price chart</w:t>
      </w:r>
    </w:p>
    <w:p>
      <w:pPr>
        <w:pStyle w:val="Heading2"/>
        <w:spacing w:after="90" w:before="200"/>
      </w:pPr>
      <w:r>
        <w:rPr>
          <w:rFonts w:ascii="Arial" w:cs="Arial" w:eastAsia="Arial" w:hAnsi="Arial"/>
          <w:b/>
          <w:bCs/>
          <w:color w:val="D6248F"/>
          <w:sz w:val="23"/>
          <w:szCs w:val="23"/>
        </w:rPr>
        <w:t xml:space="preserve">Price chart — real data</w:t>
      </w:r>
    </w:p>
    <w:p>
      <w:pPr>
        <w:spacing w:after="12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251 real daily closing prices for Carlyle (NASDAQ: CG) from a market-data feed (Yahoo Finance), served as JSON from the same site (S3 + CloudFront) and fetched in-browser — Days / Weeks / Months / Year ranges. </w:t>
      </w: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The numbers are real.</w:t>
      </w:r>
    </w:p>
    <w:p>
      <w:pPr>
        <w:pStyle w:val="Heading2"/>
        <w:spacing w:after="90" w:before="200"/>
      </w:pPr>
      <w:r>
        <w:rPr>
          <w:rFonts w:ascii="Arial" w:cs="Arial" w:eastAsia="Arial" w:hAnsi="Arial"/>
          <w:b/>
          <w:bCs/>
          <w:color w:val="D6248F"/>
          <w:sz w:val="23"/>
          <w:szCs w:val="23"/>
        </w:rPr>
        <w:t xml:space="preserve">Ticker tape — streaming simulation, anchored to reality</w:t>
      </w:r>
    </w:p>
    <w:p>
      <w:pPr>
        <w:spacing w:after="12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A front-end simulation (Alpine.js </w:t>
      </w:r>
      <w:r>
        <w:rPr>
          <w:rFonts w:ascii="Consolas" w:cs="Consolas" w:eastAsia="Consolas" w:hAnsi="Consolas"/>
          <w:color w:val="14202E"/>
          <w:sz w:val="18"/>
          <w:szCs w:val="18"/>
        </w:rPr>
        <w:t xml:space="preserve">setInterval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) that random-walks the price and rotates headlines, anchored to CG's real last close. It conveys the streaming experience without depending on a paid intraday feed or exposing API keys — so it never breaks live. In production this is the Kafka → Snowpipe Streaming → Dynamic Tables path above.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566073"/>
          <w:sz w:val="18"/>
          <w:szCs w:val="18"/>
        </w:rPr>
        <w:t xml:space="preserve">Stated plainly: chart data is real; the ticker tape and in-demo datasets are illustrative; the architecture and SQL are production-accurate.</w:t>
      </w:r>
    </w:p>
    <w:p>
      <w:pPr>
        <w:pStyle w:val="Heading1"/>
        <w:spacing w:after="140" w:before="300"/>
      </w:pPr>
      <w:r>
        <w:rPr>
          <w:rFonts w:ascii="Arial" w:cs="Arial" w:eastAsia="Arial" w:hAnsi="Arial"/>
          <w:b/>
          <w:bCs/>
          <w:color w:val="0E8C86"/>
          <w:sz w:val="30"/>
          <w:szCs w:val="30"/>
        </w:rPr>
        <w:t xml:space="preserve">12 · Hosting &amp; delivery</w:t>
      </w:r>
    </w:p>
    <w:p>
      <w:pPr>
        <w:spacing w:after="120"/>
      </w:pPr>
      <w:r>
        <w:rPr>
          <w:rFonts w:ascii="Georgia" w:cs="Georgia" w:eastAsia="Georgia" w:hAnsi="Georgia"/>
          <w:color w:val="14202E"/>
          <w:sz w:val="22"/>
          <w:szCs w:val="22"/>
        </w:rPr>
        <w:t xml:space="preserve">Static site on </w:t>
      </w: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AWS S3 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behind </w:t>
      </w: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CloudFront 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(CDN + TLS), DNS via </w:t>
      </w: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Route 53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, certificate via </w:t>
      </w:r>
      <w:r>
        <w:rPr>
          <w:rFonts w:ascii="Georgia" w:cs="Georgia" w:eastAsia="Georgia" w:hAnsi="Georgia"/>
          <w:b/>
          <w:bCs/>
          <w:color w:val="14202E"/>
          <w:sz w:val="22"/>
          <w:szCs w:val="22"/>
        </w:rPr>
        <w:t xml:space="preserve">ACM</w:t>
      </w:r>
      <w:r>
        <w:rPr>
          <w:rFonts w:ascii="Georgia" w:cs="Georgia" w:eastAsia="Georgia" w:hAnsi="Georgia"/>
          <w:color w:val="14202E"/>
          <w:sz w:val="22"/>
          <w:szCs w:val="22"/>
        </w:rPr>
        <w:t xml:space="preserve">. Front-end: HTML + Tailwind CSS + Alpine.js + Chart.js. Isolated host — no link to any other property.</w:t>
      </w:r>
    </w:p>
    <w:p>
      <w:pPr>
        <w:pStyle w:val="Heading1"/>
        <w:spacing w:after="140" w:before="300"/>
      </w:pPr>
      <w:r>
        <w:rPr>
          <w:rFonts w:ascii="Arial" w:cs="Arial" w:eastAsia="Arial" w:hAnsi="Arial"/>
          <w:b/>
          <w:bCs/>
          <w:color w:val="6D28D9"/>
          <w:sz w:val="30"/>
          <w:szCs w:val="30"/>
        </w:rPr>
        <w:t xml:space="preserve">13 · Technology index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6D28D9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Technology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6D28D9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 in the platform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Snowflake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Core cloud data platform — storage, compute, governance for the whole lakehouse.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Apache Iceberg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Open table format for Bronze raw + shared tables — no lock-in, read by Snowflake and Databricks.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Snowpipe Streaming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Low-latency continuous ingestion from Kafka into Snowflake.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Apache Kafka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Event backbone for market data and news streams feeding the platform.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Fivetran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Managed connectors for SaaS / batch sources.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Dynamic Tables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Declarative incremental transformations (Silver / canonical models).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Snowflake Cortex Analyst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Natural-language → SQL over a governed semantic model.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Cortex Search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Managed retrieval (RAG) — hybrid semantic + keyword, with citations.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snowflake-arctic-embed-l-v2.0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Embedding model powering vector retrieval.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Cortex Agents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Planning + tool-use for agentic workflows over governed data.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MDM (matching + survivorship)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JAROWINKLER_SIMILARITY + SOUNDEX blocking + QUALIFY survivorship → golden records.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Semantic layer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One metric contract shared by BI and AI (Cortex Analyst model).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Databricks + MLflow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Heavy ML training / experiment tracking over the same Iceberg tables.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Palantir Foundry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Ontology layer — business objects (Fund, Deal, Company) on shared golden records.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Governance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RBAC, dynamic PII masking, Horizon lineage, eval harness, audit logging.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AWS S3 + CloudFront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Static hosting + CDN for the demo (this site).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Route 53 + ACM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AF6F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DNS + TLS for carlyle.hmtech.one.</w:t>
            </w:r>
          </w:p>
        </w:tc>
      </w:tr>
      <w:tr>
        <w:tc>
          <w:tcPr>
            <w:tcW w:type="dxa" w:w="300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4202E"/>
                <w:sz w:val="19"/>
                <w:szCs w:val="19"/>
              </w:rPr>
              <w:t xml:space="preserve">Alpine.js + Chart.js + Tailwind</w:t>
            </w:r>
          </w:p>
        </w:tc>
        <w:tc>
          <w:tcPr>
            <w:tcW w:type="dxa" w:w="6360"/>
            <w:tcBorders>
              <w:top w:val="single" w:color="E4E9F2" w:sz="1"/>
              <w:left w:val="single" w:color="E4E9F2" w:sz="1"/>
              <w:bottom w:val="single" w:color="E4E9F2" w:sz="1"/>
              <w:right w:val="single" w:color="E4E9F2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566073"/>
                <w:sz w:val="19"/>
                <w:szCs w:val="19"/>
              </w:rPr>
              <w:t xml:space="preserve">Front-end of the demo — reactivity, charts, styling.</w:t>
            </w:r>
          </w:p>
        </w:tc>
      </w:tr>
    </w:tbl>
    <w:p>
      <w:pPr>
        <w:spacing w:before="240"/>
      </w:pPr>
      <w:r>
        <w:rPr>
          <w:rFonts w:ascii="Georgia" w:cs="Georgia" w:eastAsia="Georgia" w:hAnsi="Georgia"/>
          <w:i/>
          <w:iCs/>
          <w:color w:val="566073"/>
          <w:sz w:val="16"/>
          <w:szCs w:val="16"/>
        </w:rPr>
        <w:t xml:space="preserve">Reference-architecture demo · illustrative data · not a live production system · Carlyle figures from public disclosures (NASDAQ: CG).</w:t>
      </w:r>
    </w:p>
    <w:sectPr>
      <w:footerReference w:type="default" r:id="rId7"/>
      <w:pgSz w:w="12240" w:h="15840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6248F" w:sz="6" w:space="6"/>
      </w:pBdr>
    </w:pPr>
    <w:r>
      <w:rPr>
        <w:rFonts w:ascii="Georgia" w:cs="Georgia" w:eastAsia="Georgia" w:hAnsi="Georgia"/>
        <w:color w:val="566073"/>
        <w:sz w:val="16"/>
        <w:szCs w:val="16"/>
      </w:rPr>
      <w:t xml:space="preserve">Harnoor Minhas · carlyle.hmtech.one        </w:t>
    </w:r>
    <w:r>
      <w:rPr>
        <w:rFonts w:ascii="Georgia" w:cs="Georgia" w:eastAsia="Georgia" w:hAnsi="Georgia"/>
        <w:color w:val="566073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420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300"/>
      <w:outlineLvl w:val="0"/>
    </w:pPr>
    <w:rPr>
      <w:rFonts w:ascii="Arial" w:cs="Arial" w:eastAsia="Arial" w:hAnsi="Arial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90" w:before="200"/>
      <w:outlineLvl w:val="1"/>
    </w:pPr>
    <w:rPr>
      <w:rFonts w:ascii="Arial" w:cs="Arial" w:eastAsia="Arial" w:hAnsi="Arial"/>
      <w:b/>
      <w:bCs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2026-05-21T22:57:28.008Z</dcterms:created>
  <dcterms:modified xsi:type="dcterms:W3CDTF">2026-05-21T22:57:28.009Z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